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98B" w:rsidRPr="001A2A42" w:rsidRDefault="00836080">
      <w:pPr>
        <w:spacing w:after="0"/>
        <w:ind w:left="0" w:right="128" w:firstLine="0"/>
        <w:jc w:val="center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  <w:sz w:val="44"/>
        </w:rPr>
        <w:t>國立</w:t>
      </w:r>
      <w:r w:rsidR="001A2A42" w:rsidRPr="001A2A42">
        <w:rPr>
          <w:rFonts w:ascii="Times New Roman" w:hAnsi="Times New Roman" w:cs="Times New Roman"/>
          <w:sz w:val="44"/>
        </w:rPr>
        <w:t>臺南</w:t>
      </w:r>
      <w:r w:rsidRPr="001A2A42">
        <w:rPr>
          <w:rFonts w:ascii="Times New Roman" w:hAnsi="Times New Roman" w:cs="Times New Roman"/>
          <w:sz w:val="44"/>
        </w:rPr>
        <w:t>大學貸款契約書</w:t>
      </w:r>
      <w:bookmarkStart w:id="0" w:name="_GoBack"/>
      <w:bookmarkEnd w:id="0"/>
      <w:r w:rsidRPr="001A2A42">
        <w:rPr>
          <w:rFonts w:ascii="Times New Roman" w:hAnsi="Times New Roman" w:cs="Times New Roman"/>
          <w:sz w:val="16"/>
        </w:rPr>
        <w:t xml:space="preserve"> </w:t>
      </w:r>
    </w:p>
    <w:p w:rsidR="003A698B" w:rsidRPr="001A2A42" w:rsidRDefault="00836080">
      <w:pPr>
        <w:spacing w:after="306"/>
        <w:ind w:left="0" w:right="51" w:firstLine="0"/>
        <w:jc w:val="center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  <w:sz w:val="16"/>
        </w:rPr>
        <w:t xml:space="preserve"> </w:t>
      </w:r>
    </w:p>
    <w:p w:rsidR="001A2A42" w:rsidRPr="001A2A42" w:rsidRDefault="00836080">
      <w:pPr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立約人：國立</w:t>
      </w:r>
      <w:r w:rsidR="001A2A42" w:rsidRPr="001A2A42">
        <w:rPr>
          <w:rFonts w:ascii="Times New Roman" w:hAnsi="Times New Roman" w:cs="Times New Roman"/>
        </w:rPr>
        <w:t>臺南</w:t>
      </w:r>
      <w:r w:rsidRPr="001A2A42">
        <w:rPr>
          <w:rFonts w:ascii="Times New Roman" w:hAnsi="Times New Roman" w:cs="Times New Roman"/>
        </w:rPr>
        <w:t>大學</w:t>
      </w:r>
      <w:r w:rsidRPr="001A2A42">
        <w:rPr>
          <w:rFonts w:ascii="Times New Roman" w:hAnsi="Times New Roman" w:cs="Times New Roman"/>
        </w:rPr>
        <w:t>(</w:t>
      </w:r>
      <w:r w:rsidRPr="001A2A42">
        <w:rPr>
          <w:rFonts w:ascii="Times New Roman" w:hAnsi="Times New Roman" w:cs="Times New Roman"/>
        </w:rPr>
        <w:t>以下簡稱甲方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，</w:t>
      </w:r>
      <w:r w:rsidRPr="001A2A42">
        <w:rPr>
          <w:rFonts w:ascii="Times New Roman" w:hAnsi="Times New Roman" w:cs="Times New Roman"/>
        </w:rPr>
        <w:t>○○○</w:t>
      </w:r>
      <w:r w:rsidRPr="001A2A42">
        <w:rPr>
          <w:rFonts w:ascii="Times New Roman" w:hAnsi="Times New Roman" w:cs="Times New Roman"/>
        </w:rPr>
        <w:t>銀行</w:t>
      </w:r>
      <w:r w:rsidRPr="001A2A42">
        <w:rPr>
          <w:rFonts w:ascii="Times New Roman" w:hAnsi="Times New Roman" w:cs="Times New Roman"/>
        </w:rPr>
        <w:t>(</w:t>
      </w:r>
      <w:r w:rsidRPr="001A2A42">
        <w:rPr>
          <w:rFonts w:ascii="Times New Roman" w:hAnsi="Times New Roman" w:cs="Times New Roman"/>
        </w:rPr>
        <w:t>簡稱乙方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，茲因甲方辦理「</w:t>
      </w:r>
      <w:r w:rsidR="001A2A42" w:rsidRPr="001A2A42">
        <w:rPr>
          <w:rFonts w:ascii="Times New Roman" w:hAnsi="Times New Roman" w:cs="Times New Roman"/>
        </w:rPr>
        <w:t>淑慎樓</w:t>
      </w:r>
      <w:r w:rsidRPr="001A2A42">
        <w:rPr>
          <w:rFonts w:ascii="Times New Roman" w:hAnsi="Times New Roman" w:cs="Times New Roman"/>
        </w:rPr>
        <w:t>學生宿舍</w:t>
      </w:r>
      <w:r w:rsidR="00A36265">
        <w:rPr>
          <w:rFonts w:ascii="Times New Roman" w:hAnsi="Times New Roman" w:cs="Times New Roman" w:hint="eastAsia"/>
        </w:rPr>
        <w:t>新建工程</w:t>
      </w:r>
      <w:r w:rsidRPr="001A2A42">
        <w:rPr>
          <w:rFonts w:ascii="Times New Roman" w:hAnsi="Times New Roman" w:cs="Times New Roman"/>
        </w:rPr>
        <w:t>融資案」需要向乙方貸款，特訂立本契約如下：</w:t>
      </w:r>
    </w:p>
    <w:p w:rsidR="003A698B" w:rsidRPr="001A2A42" w:rsidRDefault="00836080">
      <w:pPr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一、貸款方式：信用貸款。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numPr>
          <w:ilvl w:val="0"/>
          <w:numId w:val="1"/>
        </w:numPr>
        <w:ind w:hanging="64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貸款額度：新</w:t>
      </w:r>
      <w:r w:rsidR="00B414E1">
        <w:rPr>
          <w:rFonts w:ascii="Times New Roman" w:hAnsi="Times New Roman" w:cs="Times New Roman" w:hint="eastAsia"/>
        </w:rPr>
        <w:t>臺</w:t>
      </w:r>
      <w:r w:rsidRPr="001A2A42">
        <w:rPr>
          <w:rFonts w:ascii="Times New Roman" w:hAnsi="Times New Roman" w:cs="Times New Roman"/>
        </w:rPr>
        <w:t>幣</w:t>
      </w:r>
      <w:r w:rsidRPr="001A2A42">
        <w:rPr>
          <w:rFonts w:ascii="Times New Roman" w:hAnsi="Times New Roman" w:cs="Times New Roman"/>
        </w:rPr>
        <w:t>1</w:t>
      </w:r>
      <w:r w:rsidRPr="001A2A42">
        <w:rPr>
          <w:rFonts w:ascii="Times New Roman" w:hAnsi="Times New Roman" w:cs="Times New Roman"/>
        </w:rPr>
        <w:t>億元整。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numPr>
          <w:ilvl w:val="0"/>
          <w:numId w:val="1"/>
        </w:numPr>
        <w:ind w:hanging="64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貸款期限：</w:t>
      </w:r>
      <w:r w:rsidR="001C68E4" w:rsidRPr="001C68E4">
        <w:rPr>
          <w:rFonts w:ascii="Times New Roman" w:hAnsi="Times New Roman" w:cs="Times New Roman" w:hint="eastAsia"/>
        </w:rPr>
        <w:t>自首</w:t>
      </w:r>
      <w:proofErr w:type="gramStart"/>
      <w:r w:rsidR="001C68E4" w:rsidRPr="001C68E4">
        <w:rPr>
          <w:rFonts w:ascii="Times New Roman" w:hAnsi="Times New Roman" w:cs="Times New Roman" w:hint="eastAsia"/>
        </w:rPr>
        <w:t>次動撥日</w:t>
      </w:r>
      <w:proofErr w:type="gramEnd"/>
      <w:r w:rsidR="001C68E4" w:rsidRPr="001C68E4">
        <w:rPr>
          <w:rFonts w:ascii="Times New Roman" w:hAnsi="Times New Roman" w:cs="Times New Roman" w:hint="eastAsia"/>
        </w:rPr>
        <w:t>起</w:t>
      </w:r>
      <w:r w:rsidR="001C68E4" w:rsidRPr="001C68E4">
        <w:rPr>
          <w:rFonts w:ascii="Times New Roman" w:hAnsi="Times New Roman" w:cs="Times New Roman"/>
        </w:rPr>
        <w:t>20</w:t>
      </w:r>
      <w:r w:rsidR="001C68E4" w:rsidRPr="001C68E4">
        <w:rPr>
          <w:rFonts w:ascii="Times New Roman" w:hAnsi="Times New Roman" w:cs="Times New Roman" w:hint="eastAsia"/>
        </w:rPr>
        <w:t>年</w:t>
      </w:r>
      <w:r w:rsidR="001C68E4" w:rsidRPr="001C68E4">
        <w:rPr>
          <w:rFonts w:ascii="Times New Roman" w:hAnsi="Times New Roman" w:cs="Times New Roman"/>
        </w:rPr>
        <w:t>(</w:t>
      </w:r>
      <w:r w:rsidR="001C68E4" w:rsidRPr="001C68E4">
        <w:rPr>
          <w:rFonts w:ascii="Times New Roman" w:hAnsi="Times New Roman" w:cs="Times New Roman"/>
        </w:rPr>
        <w:t>含寬限期</w:t>
      </w:r>
      <w:r w:rsidR="001C68E4" w:rsidRPr="001C68E4">
        <w:rPr>
          <w:rFonts w:ascii="Times New Roman" w:hAnsi="Times New Roman" w:cs="Times New Roman"/>
        </w:rPr>
        <w:t>2</w:t>
      </w:r>
      <w:r w:rsidR="001C68E4" w:rsidRPr="001C68E4">
        <w:rPr>
          <w:rFonts w:ascii="Times New Roman" w:hAnsi="Times New Roman" w:cs="Times New Roman"/>
        </w:rPr>
        <w:t>年</w:t>
      </w:r>
      <w:r w:rsidR="001C68E4" w:rsidRPr="001C68E4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numPr>
          <w:ilvl w:val="0"/>
          <w:numId w:val="1"/>
        </w:numPr>
        <w:ind w:hanging="64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貸款利率：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 w:rsidP="001A2A42">
      <w:pPr>
        <w:spacing w:after="0"/>
        <w:ind w:left="941" w:hanging="958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  (</w:t>
      </w:r>
      <w:proofErr w:type="gramStart"/>
      <w:r w:rsidRPr="001A2A42">
        <w:rPr>
          <w:rFonts w:ascii="Times New Roman" w:hAnsi="Times New Roman" w:cs="Times New Roman"/>
        </w:rPr>
        <w:t>一</w:t>
      </w:r>
      <w:proofErr w:type="gramEnd"/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利息支付</w:t>
      </w:r>
      <w:proofErr w:type="gramStart"/>
      <w:r w:rsidRPr="001A2A42">
        <w:rPr>
          <w:rFonts w:ascii="Times New Roman" w:hAnsi="Times New Roman" w:cs="Times New Roman"/>
        </w:rPr>
        <w:t>以動撥</w:t>
      </w:r>
      <w:proofErr w:type="gramEnd"/>
      <w:r w:rsidRPr="001A2A42">
        <w:rPr>
          <w:rFonts w:ascii="Times New Roman" w:hAnsi="Times New Roman" w:cs="Times New Roman"/>
        </w:rPr>
        <w:t>前一天中華郵政二年期定期儲金未達</w:t>
      </w:r>
      <w:r w:rsidRPr="001A2A42">
        <w:rPr>
          <w:rFonts w:ascii="Times New Roman" w:hAnsi="Times New Roman" w:cs="Times New Roman"/>
        </w:rPr>
        <w:t>500</w:t>
      </w:r>
      <w:r w:rsidRPr="001A2A42">
        <w:rPr>
          <w:rFonts w:ascii="Times New Roman" w:hAnsi="Times New Roman" w:cs="Times New Roman"/>
        </w:rPr>
        <w:t>萬元機動利率為基準利率加</w:t>
      </w:r>
      <w:r w:rsidRPr="001A2A42">
        <w:rPr>
          <w:rFonts w:ascii="Times New Roman" w:hAnsi="Times New Roman" w:cs="Times New Roman"/>
        </w:rPr>
        <w:t>(</w:t>
      </w:r>
      <w:r w:rsidRPr="001A2A42">
        <w:rPr>
          <w:rFonts w:ascii="Times New Roman" w:hAnsi="Times New Roman" w:cs="Times New Roman"/>
        </w:rPr>
        <w:t>減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年利率</w:t>
      </w:r>
      <w:r w:rsidRPr="001A2A42">
        <w:rPr>
          <w:rFonts w:ascii="Times New Roman" w:hAnsi="Times New Roman" w:cs="Times New Roman"/>
        </w:rPr>
        <w:t xml:space="preserve">    </w:t>
      </w:r>
      <w:r w:rsidR="009735A4">
        <w:rPr>
          <w:rFonts w:ascii="Times New Roman" w:hAnsi="Times New Roman" w:cs="Times New Roman" w:hint="eastAsia"/>
        </w:rPr>
        <w:t xml:space="preserve">  </w:t>
      </w:r>
      <w:r w:rsidRPr="001A2A42">
        <w:rPr>
          <w:rFonts w:ascii="Times New Roman" w:hAnsi="Times New Roman" w:cs="Times New Roman"/>
        </w:rPr>
        <w:t xml:space="preserve"> %   </w:t>
      </w:r>
    </w:p>
    <w:p w:rsidR="003A698B" w:rsidRPr="001A2A42" w:rsidRDefault="00836080" w:rsidP="001A2A42">
      <w:pPr>
        <w:spacing w:after="1"/>
        <w:ind w:left="960" w:firstLine="0"/>
        <w:rPr>
          <w:rFonts w:ascii="Times New Roman" w:hAnsi="Times New Roman" w:cs="Times New Roman"/>
        </w:rPr>
      </w:pPr>
      <w:r w:rsidRPr="001A2A42">
        <w:rPr>
          <w:rFonts w:ascii="Times New Roman" w:eastAsia="Times New Roman" w:hAnsi="Times New Roman" w:cs="Times New Roman"/>
        </w:rPr>
        <w:t>(</w:t>
      </w:r>
      <w:r w:rsidRPr="001A2A42">
        <w:rPr>
          <w:rFonts w:ascii="Times New Roman" w:hAnsi="Times New Roman" w:cs="Times New Roman"/>
        </w:rPr>
        <w:t>決標日合計約年利率</w:t>
      </w:r>
      <w:r w:rsidRPr="001A2A42">
        <w:rPr>
          <w:rFonts w:ascii="Times New Roman" w:eastAsia="Times New Roman" w:hAnsi="Times New Roman" w:cs="Times New Roman"/>
        </w:rPr>
        <w:t xml:space="preserve">   </w:t>
      </w:r>
      <w:r w:rsidR="009735A4">
        <w:rPr>
          <w:rFonts w:asciiTheme="minorEastAsia" w:eastAsiaTheme="minorEastAsia" w:hAnsiTheme="minorEastAsia" w:cs="Times New Roman" w:hint="eastAsia"/>
        </w:rPr>
        <w:t xml:space="preserve">   </w:t>
      </w:r>
      <w:r w:rsidRPr="001A2A42">
        <w:rPr>
          <w:rFonts w:ascii="Times New Roman" w:eastAsia="Times New Roman" w:hAnsi="Times New Roman" w:cs="Times New Roman"/>
        </w:rPr>
        <w:t xml:space="preserve"> %)</w:t>
      </w:r>
      <w:r w:rsidRPr="001A2A42">
        <w:rPr>
          <w:rFonts w:ascii="Times New Roman" w:hAnsi="Times New Roman" w:cs="Times New Roman"/>
        </w:rPr>
        <w:t>，並</w:t>
      </w:r>
      <w:r w:rsidRPr="001A2A42">
        <w:rPr>
          <w:rFonts w:ascii="Times New Roman" w:hAnsi="Times New Roman" w:cs="Times New Roman"/>
          <w:color w:val="FF0000"/>
        </w:rPr>
        <w:t>於基準利率調整時隨同調整，原約定加減碼幅度不變。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ind w:left="929" w:hanging="944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  (</w:t>
      </w:r>
      <w:r w:rsidRPr="001A2A42">
        <w:rPr>
          <w:rFonts w:ascii="Times New Roman" w:hAnsi="Times New Roman" w:cs="Times New Roman"/>
        </w:rPr>
        <w:t>二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利率之調整自前項所約定調整日起，按調整後之年利率計算。利息自借款撥入甲方指定專戶之日開始按日計算，</w:t>
      </w:r>
      <w:proofErr w:type="gramStart"/>
      <w:r w:rsidRPr="001A2A42">
        <w:rPr>
          <w:rFonts w:ascii="Times New Roman" w:hAnsi="Times New Roman" w:cs="Times New Roman"/>
        </w:rPr>
        <w:t>一年均以每年</w:t>
      </w:r>
      <w:proofErr w:type="gramEnd"/>
      <w:r w:rsidRPr="001A2A42">
        <w:rPr>
          <w:rFonts w:ascii="Times New Roman" w:hAnsi="Times New Roman" w:cs="Times New Roman"/>
        </w:rPr>
        <w:t>365</w:t>
      </w:r>
      <w:r w:rsidRPr="001A2A42">
        <w:rPr>
          <w:rFonts w:ascii="Times New Roman" w:hAnsi="Times New Roman" w:cs="Times New Roman"/>
        </w:rPr>
        <w:t>日為計息基礎，遇閏年不變，並按日計算累計，即按日以每日最終貸款餘額乘以約定年利率再除以</w:t>
      </w:r>
      <w:r w:rsidRPr="001A2A42">
        <w:rPr>
          <w:rFonts w:ascii="Times New Roman" w:hAnsi="Times New Roman" w:cs="Times New Roman"/>
        </w:rPr>
        <w:t>365</w:t>
      </w:r>
      <w:r w:rsidRPr="001A2A42">
        <w:rPr>
          <w:rFonts w:ascii="Times New Roman" w:hAnsi="Times New Roman" w:cs="Times New Roman"/>
        </w:rPr>
        <w:t>逐日計算累積。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numPr>
          <w:ilvl w:val="0"/>
          <w:numId w:val="1"/>
        </w:numPr>
        <w:spacing w:after="1" w:line="312" w:lineRule="auto"/>
        <w:ind w:hanging="64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撥款方式：</w:t>
      </w:r>
      <w:r w:rsidR="001A2A42" w:rsidRPr="001A2A42">
        <w:rPr>
          <w:rFonts w:ascii="Times New Roman" w:hAnsi="Times New Roman" w:cs="Times New Roman" w:hint="eastAsia"/>
          <w:color w:val="FF0000"/>
        </w:rPr>
        <w:t>核貸後先撥款</w:t>
      </w:r>
      <w:r w:rsidR="001A2A42" w:rsidRPr="001A2A42">
        <w:rPr>
          <w:rFonts w:ascii="Times New Roman" w:hAnsi="Times New Roman" w:cs="Times New Roman"/>
          <w:color w:val="FF0000"/>
        </w:rPr>
        <w:t>8,000</w:t>
      </w:r>
      <w:r w:rsidR="001A2A42" w:rsidRPr="001A2A42">
        <w:rPr>
          <w:rFonts w:ascii="Times New Roman" w:hAnsi="Times New Roman" w:cs="Times New Roman"/>
          <w:color w:val="FF0000"/>
        </w:rPr>
        <w:t>萬元，</w:t>
      </w:r>
      <w:r w:rsidRPr="001A2A42">
        <w:rPr>
          <w:rFonts w:ascii="Times New Roman" w:hAnsi="Times New Roman" w:cs="Times New Roman"/>
          <w:color w:val="FF0000"/>
        </w:rPr>
        <w:t>於</w:t>
      </w:r>
      <w:r w:rsidR="001C68E4">
        <w:rPr>
          <w:rFonts w:ascii="Times New Roman" w:hAnsi="Times New Roman" w:cs="Times New Roman" w:hint="eastAsia"/>
          <w:color w:val="FF0000"/>
        </w:rPr>
        <w:t>簽約</w:t>
      </w:r>
      <w:r w:rsidRPr="001A2A42">
        <w:rPr>
          <w:rFonts w:ascii="Times New Roman" w:hAnsi="Times New Roman" w:cs="Times New Roman"/>
          <w:color w:val="FF0000"/>
        </w:rPr>
        <w:t>次日起</w:t>
      </w:r>
      <w:r w:rsidR="001C68E4">
        <w:rPr>
          <w:rFonts w:ascii="Times New Roman" w:hAnsi="Times New Roman" w:cs="Times New Roman" w:hint="eastAsia"/>
          <w:color w:val="FF0000"/>
        </w:rPr>
        <w:t>1</w:t>
      </w:r>
      <w:r w:rsidRPr="001A2A42">
        <w:rPr>
          <w:rFonts w:ascii="Times New Roman" w:hAnsi="Times New Roman" w:cs="Times New Roman"/>
          <w:color w:val="FF0000"/>
        </w:rPr>
        <w:t>0</w:t>
      </w:r>
      <w:r w:rsidRPr="001A2A42">
        <w:rPr>
          <w:rFonts w:ascii="Times New Roman" w:hAnsi="Times New Roman" w:cs="Times New Roman"/>
          <w:color w:val="FF0000"/>
        </w:rPr>
        <w:t>個日曆天內撥入甲方指定之帳戶</w:t>
      </w:r>
      <w:r w:rsidR="001A2A42">
        <w:rPr>
          <w:rFonts w:ascii="Times New Roman" w:hAnsi="Times New Roman" w:cs="Times New Roman" w:hint="eastAsia"/>
          <w:color w:val="FF0000"/>
        </w:rPr>
        <w:t>，</w:t>
      </w:r>
      <w:r w:rsidR="001A2A42" w:rsidRPr="001A2A42">
        <w:rPr>
          <w:rFonts w:ascii="Times New Roman" w:hAnsi="Times New Roman" w:cs="Times New Roman" w:hint="eastAsia"/>
          <w:color w:val="FF0000"/>
        </w:rPr>
        <w:t>並於</w:t>
      </w:r>
      <w:r w:rsidR="001A2A42" w:rsidRPr="001A2A42">
        <w:rPr>
          <w:rFonts w:ascii="Times New Roman" w:hAnsi="Times New Roman" w:cs="Times New Roman"/>
          <w:color w:val="FF0000"/>
        </w:rPr>
        <w:t>113</w:t>
      </w:r>
      <w:r w:rsidR="001A2A42" w:rsidRPr="001A2A42">
        <w:rPr>
          <w:rFonts w:ascii="Times New Roman" w:hAnsi="Times New Roman" w:cs="Times New Roman"/>
          <w:color w:val="FF0000"/>
        </w:rPr>
        <w:t>年</w:t>
      </w:r>
      <w:r w:rsidR="001A2A42" w:rsidRPr="001A2A42">
        <w:rPr>
          <w:rFonts w:ascii="Times New Roman" w:hAnsi="Times New Roman" w:cs="Times New Roman"/>
          <w:color w:val="FF0000"/>
        </w:rPr>
        <w:t>1</w:t>
      </w:r>
      <w:r w:rsidR="001A2A42" w:rsidRPr="001A2A42">
        <w:rPr>
          <w:rFonts w:ascii="Times New Roman" w:hAnsi="Times New Roman" w:cs="Times New Roman"/>
          <w:color w:val="FF0000"/>
        </w:rPr>
        <w:t>月</w:t>
      </w:r>
      <w:r w:rsidR="001A2A42" w:rsidRPr="001A2A42">
        <w:rPr>
          <w:rFonts w:ascii="Times New Roman" w:hAnsi="Times New Roman" w:cs="Times New Roman"/>
          <w:color w:val="FF0000"/>
        </w:rPr>
        <w:t>15</w:t>
      </w:r>
      <w:r w:rsidR="001A2A42" w:rsidRPr="001A2A42">
        <w:rPr>
          <w:rFonts w:ascii="Times New Roman" w:hAnsi="Times New Roman" w:cs="Times New Roman"/>
          <w:color w:val="FF0000"/>
        </w:rPr>
        <w:t>日前再核撥</w:t>
      </w:r>
      <w:r w:rsidR="001A2A42" w:rsidRPr="001A2A42">
        <w:rPr>
          <w:rFonts w:ascii="Times New Roman" w:hAnsi="Times New Roman" w:cs="Times New Roman"/>
          <w:color w:val="FF0000"/>
        </w:rPr>
        <w:t>2,000</w:t>
      </w:r>
      <w:r w:rsidR="001A2A42" w:rsidRPr="001A2A42">
        <w:rPr>
          <w:rFonts w:ascii="Times New Roman" w:hAnsi="Times New Roman" w:cs="Times New Roman"/>
          <w:color w:val="FF0000"/>
        </w:rPr>
        <w:t>萬元</w:t>
      </w:r>
      <w:r w:rsidRPr="001A2A42">
        <w:rPr>
          <w:rFonts w:ascii="Times New Roman" w:hAnsi="Times New Roman" w:cs="Times New Roman"/>
          <w:color w:val="FF0000"/>
        </w:rPr>
        <w:t>。</w:t>
      </w:r>
      <w:r w:rsidRPr="001A2A42">
        <w:rPr>
          <w:rFonts w:ascii="Times New Roman" w:hAnsi="Times New Roman" w:cs="Times New Roman"/>
          <w:color w:val="FF0000"/>
        </w:rPr>
        <w:t xml:space="preserve"> </w:t>
      </w:r>
    </w:p>
    <w:p w:rsidR="003A698B" w:rsidRPr="001A2A42" w:rsidRDefault="00836080">
      <w:pPr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六、償還方式：</w:t>
      </w:r>
      <w:r w:rsidRPr="001A2A42">
        <w:rPr>
          <w:rFonts w:ascii="Times New Roman" w:hAnsi="Times New Roman" w:cs="Times New Roman"/>
        </w:rPr>
        <w:t xml:space="preserve"> </w:t>
      </w:r>
    </w:p>
    <w:p w:rsidR="001A2A42" w:rsidRPr="001A2A42" w:rsidRDefault="00836080" w:rsidP="001A2A42">
      <w:pPr>
        <w:ind w:left="709" w:hanging="724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  (</w:t>
      </w:r>
      <w:r w:rsidRPr="001A2A42">
        <w:rPr>
          <w:rFonts w:ascii="Times New Roman" w:hAnsi="Times New Roman" w:cs="Times New Roman"/>
        </w:rPr>
        <w:t>一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每年</w:t>
      </w:r>
      <w:r w:rsidR="001C68E4" w:rsidRPr="001C68E4">
        <w:rPr>
          <w:rFonts w:ascii="Times New Roman" w:hAnsi="Times New Roman" w:cs="Times New Roman" w:hint="eastAsia"/>
          <w:color w:val="FF0000"/>
        </w:rPr>
        <w:t>4</w:t>
      </w:r>
      <w:r w:rsidRPr="001A2A42">
        <w:rPr>
          <w:rFonts w:ascii="Times New Roman" w:hAnsi="Times New Roman" w:cs="Times New Roman"/>
          <w:color w:val="FF0000"/>
        </w:rPr>
        <w:t>月</w:t>
      </w:r>
      <w:r w:rsidR="001C68E4">
        <w:rPr>
          <w:rFonts w:ascii="Times New Roman" w:hAnsi="Times New Roman" w:cs="Times New Roman" w:hint="eastAsia"/>
          <w:color w:val="FF0000"/>
        </w:rPr>
        <w:t>30</w:t>
      </w:r>
      <w:r w:rsidRPr="001A2A42">
        <w:rPr>
          <w:rFonts w:ascii="Times New Roman" w:hAnsi="Times New Roman" w:cs="Times New Roman"/>
          <w:color w:val="FF0000"/>
        </w:rPr>
        <w:t>日</w:t>
      </w:r>
      <w:r w:rsidRPr="001A2A42">
        <w:rPr>
          <w:rFonts w:ascii="Times New Roman" w:hAnsi="Times New Roman" w:cs="Times New Roman"/>
        </w:rPr>
        <w:t>及</w:t>
      </w:r>
      <w:r w:rsidRPr="001A2A42">
        <w:rPr>
          <w:rFonts w:ascii="Times New Roman" w:hAnsi="Times New Roman" w:cs="Times New Roman"/>
          <w:color w:val="FF0000"/>
        </w:rPr>
        <w:t>10</w:t>
      </w:r>
      <w:r w:rsidRPr="001A2A42">
        <w:rPr>
          <w:rFonts w:ascii="Times New Roman" w:hAnsi="Times New Roman" w:cs="Times New Roman"/>
          <w:color w:val="FF0000"/>
        </w:rPr>
        <w:t>月</w:t>
      </w:r>
      <w:r w:rsidRPr="001A2A42">
        <w:rPr>
          <w:rFonts w:ascii="Times New Roman" w:hAnsi="Times New Roman" w:cs="Times New Roman"/>
          <w:color w:val="FF0000"/>
        </w:rPr>
        <w:t>31</w:t>
      </w:r>
      <w:r w:rsidRPr="001A2A42">
        <w:rPr>
          <w:rFonts w:ascii="Times New Roman" w:hAnsi="Times New Roman" w:cs="Times New Roman"/>
          <w:color w:val="FF0000"/>
        </w:rPr>
        <w:t>日</w:t>
      </w:r>
      <w:r w:rsidRPr="001A2A42">
        <w:rPr>
          <w:rFonts w:ascii="Times New Roman" w:hAnsi="Times New Roman" w:cs="Times New Roman"/>
        </w:rPr>
        <w:t>支付利息</w:t>
      </w:r>
      <w:r w:rsidRPr="001A2A42">
        <w:rPr>
          <w:rFonts w:ascii="Times New Roman" w:hAnsi="Times New Roman" w:cs="Times New Roman"/>
        </w:rPr>
        <w:t>(</w:t>
      </w:r>
      <w:r w:rsidRPr="001A2A42">
        <w:rPr>
          <w:rFonts w:ascii="Times New Roman" w:hAnsi="Times New Roman" w:cs="Times New Roman"/>
        </w:rPr>
        <w:t>如遇星期假日、國定假日或其他休息日順延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；貸款</w:t>
      </w:r>
      <w:r w:rsidR="001C68E4" w:rsidRPr="001A2A42">
        <w:rPr>
          <w:rFonts w:ascii="Times New Roman" w:hAnsi="Times New Roman" w:cs="Times New Roman"/>
        </w:rPr>
        <w:t>本金</w:t>
      </w:r>
      <w:r w:rsidR="001C68E4">
        <w:rPr>
          <w:rFonts w:ascii="Times New Roman" w:hAnsi="Times New Roman" w:cs="Times New Roman" w:hint="eastAsia"/>
        </w:rPr>
        <w:t>自首次動撥日後第三年起</w:t>
      </w:r>
      <w:r w:rsidRPr="001A2A42">
        <w:rPr>
          <w:rFonts w:ascii="Times New Roman" w:hAnsi="Times New Roman" w:cs="Times New Roman"/>
        </w:rPr>
        <w:t>每年</w:t>
      </w:r>
      <w:r w:rsidR="001C68E4" w:rsidRPr="001C68E4">
        <w:rPr>
          <w:rFonts w:ascii="Times New Roman" w:hAnsi="Times New Roman" w:cs="Times New Roman" w:hint="eastAsia"/>
          <w:color w:val="FF0000"/>
        </w:rPr>
        <w:t>4</w:t>
      </w:r>
      <w:r w:rsidRPr="001A2A42">
        <w:rPr>
          <w:rFonts w:ascii="Times New Roman" w:hAnsi="Times New Roman" w:cs="Times New Roman"/>
          <w:color w:val="FF0000"/>
        </w:rPr>
        <w:t>月</w:t>
      </w:r>
      <w:r w:rsidRPr="001A2A42">
        <w:rPr>
          <w:rFonts w:ascii="Times New Roman" w:hAnsi="Times New Roman" w:cs="Times New Roman"/>
          <w:color w:val="FF0000"/>
        </w:rPr>
        <w:t>3</w:t>
      </w:r>
      <w:r w:rsidR="001C68E4">
        <w:rPr>
          <w:rFonts w:ascii="Times New Roman" w:hAnsi="Times New Roman" w:cs="Times New Roman" w:hint="eastAsia"/>
          <w:color w:val="FF0000"/>
        </w:rPr>
        <w:t>0</w:t>
      </w:r>
      <w:r w:rsidRPr="001A2A42">
        <w:rPr>
          <w:rFonts w:ascii="Times New Roman" w:hAnsi="Times New Roman" w:cs="Times New Roman"/>
          <w:color w:val="FF0000"/>
        </w:rPr>
        <w:t>日</w:t>
      </w:r>
      <w:r w:rsidRPr="001A2A42">
        <w:rPr>
          <w:rFonts w:ascii="Times New Roman" w:hAnsi="Times New Roman" w:cs="Times New Roman"/>
        </w:rPr>
        <w:t>及</w:t>
      </w:r>
      <w:r w:rsidRPr="001A2A42">
        <w:rPr>
          <w:rFonts w:ascii="Times New Roman" w:hAnsi="Times New Roman" w:cs="Times New Roman"/>
          <w:color w:val="FF0000"/>
        </w:rPr>
        <w:t>10</w:t>
      </w:r>
      <w:r w:rsidRPr="001A2A42">
        <w:rPr>
          <w:rFonts w:ascii="Times New Roman" w:hAnsi="Times New Roman" w:cs="Times New Roman"/>
          <w:color w:val="FF0000"/>
        </w:rPr>
        <w:t>月</w:t>
      </w:r>
      <w:r w:rsidRPr="001A2A42">
        <w:rPr>
          <w:rFonts w:ascii="Times New Roman" w:hAnsi="Times New Roman" w:cs="Times New Roman"/>
          <w:color w:val="FF0000"/>
        </w:rPr>
        <w:t>31</w:t>
      </w:r>
      <w:r w:rsidRPr="001A2A42">
        <w:rPr>
          <w:rFonts w:ascii="Times New Roman" w:hAnsi="Times New Roman" w:cs="Times New Roman"/>
          <w:color w:val="FF0000"/>
        </w:rPr>
        <w:t>日</w:t>
      </w:r>
      <w:r w:rsidR="001C68E4" w:rsidRPr="001A2A42">
        <w:rPr>
          <w:rFonts w:ascii="Times New Roman" w:hAnsi="Times New Roman" w:cs="Times New Roman"/>
        </w:rPr>
        <w:t>平均</w:t>
      </w:r>
      <w:r w:rsidRPr="001A2A42">
        <w:rPr>
          <w:rFonts w:ascii="Times New Roman" w:hAnsi="Times New Roman" w:cs="Times New Roman"/>
        </w:rPr>
        <w:t>攤還</w:t>
      </w:r>
      <w:r w:rsidR="001C68E4" w:rsidRPr="001A2A42">
        <w:rPr>
          <w:rFonts w:ascii="Times New Roman" w:hAnsi="Times New Roman" w:cs="Times New Roman"/>
        </w:rPr>
        <w:t xml:space="preserve"> </w:t>
      </w:r>
      <w:r w:rsidRPr="001A2A42">
        <w:rPr>
          <w:rFonts w:ascii="Times New Roman" w:hAnsi="Times New Roman" w:cs="Times New Roman"/>
        </w:rPr>
        <w:t>(</w:t>
      </w:r>
      <w:r w:rsidRPr="001A2A42">
        <w:rPr>
          <w:rFonts w:ascii="Times New Roman" w:hAnsi="Times New Roman" w:cs="Times New Roman"/>
        </w:rPr>
        <w:t>如遇星期假日、國定假日或其他休息日順延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。</w:t>
      </w:r>
      <w:r w:rsidRPr="001A2A42">
        <w:rPr>
          <w:rFonts w:ascii="Times New Roman" w:hAnsi="Times New Roman" w:cs="Times New Roman"/>
        </w:rPr>
        <w:t xml:space="preserve">   </w:t>
      </w:r>
    </w:p>
    <w:p w:rsidR="003A698B" w:rsidRPr="001A2A42" w:rsidRDefault="00836080" w:rsidP="001A2A42">
      <w:pPr>
        <w:ind w:left="709" w:hanging="567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lastRenderedPageBreak/>
        <w:t xml:space="preserve"> (</w:t>
      </w:r>
      <w:r w:rsidRPr="001A2A42">
        <w:rPr>
          <w:rFonts w:ascii="Times New Roman" w:hAnsi="Times New Roman" w:cs="Times New Roman"/>
        </w:rPr>
        <w:t>二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乙方應提供甲方貸款本息計算方式及攤還表，如經甲方請求時，乙方並應告知查詢方式。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 w:rsidP="001A2A42">
      <w:pPr>
        <w:ind w:left="709" w:hanging="724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  (</w:t>
      </w:r>
      <w:r w:rsidRPr="001A2A42">
        <w:rPr>
          <w:rFonts w:ascii="Times New Roman" w:hAnsi="Times New Roman" w:cs="Times New Roman"/>
        </w:rPr>
        <w:t>三</w:t>
      </w:r>
      <w:r w:rsidRPr="001A2A42">
        <w:rPr>
          <w:rFonts w:ascii="Times New Roman" w:hAnsi="Times New Roman" w:cs="Times New Roman"/>
        </w:rPr>
        <w:t>)</w:t>
      </w:r>
      <w:r w:rsidRPr="001A2A42">
        <w:rPr>
          <w:rFonts w:ascii="Times New Roman" w:hAnsi="Times New Roman" w:cs="Times New Roman"/>
        </w:rPr>
        <w:t>甲方得視財務調度情況提前償還部分或全部貸款，由乙方依約定利率以實際天數按日計算利息，不收取任何違約金或其他費用。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numPr>
          <w:ilvl w:val="0"/>
          <w:numId w:val="2"/>
        </w:numPr>
        <w:ind w:hanging="64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利率調整通知：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 w:rsidP="001A2A42">
      <w:pPr>
        <w:ind w:left="692" w:hanging="408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   </w:t>
      </w:r>
      <w:r w:rsidRPr="001A2A42">
        <w:rPr>
          <w:rFonts w:ascii="Times New Roman" w:hAnsi="Times New Roman" w:cs="Times New Roman"/>
        </w:rPr>
        <w:t>引用之基準利率中華郵政二年期定期儲金未達</w:t>
      </w:r>
      <w:r w:rsidRPr="001A2A42">
        <w:rPr>
          <w:rFonts w:ascii="Times New Roman" w:hAnsi="Times New Roman" w:cs="Times New Roman"/>
        </w:rPr>
        <w:t>500</w:t>
      </w:r>
      <w:r w:rsidRPr="001A2A42">
        <w:rPr>
          <w:rFonts w:ascii="Times New Roman" w:hAnsi="Times New Roman" w:cs="Times New Roman"/>
        </w:rPr>
        <w:t>萬元機動利率調整時，告知方式由中華郵政網站公告其內容外，乙</w:t>
      </w:r>
      <w:proofErr w:type="gramStart"/>
      <w:r w:rsidRPr="001A2A42">
        <w:rPr>
          <w:rFonts w:ascii="Times New Roman" w:hAnsi="Times New Roman" w:cs="Times New Roman"/>
        </w:rPr>
        <w:t>方另佐以</w:t>
      </w:r>
      <w:proofErr w:type="gramEnd"/>
      <w:r w:rsidRPr="001A2A42">
        <w:rPr>
          <w:rFonts w:ascii="Times New Roman" w:hAnsi="Times New Roman" w:cs="Times New Roman"/>
        </w:rPr>
        <w:t>書面方式通知。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numPr>
          <w:ilvl w:val="0"/>
          <w:numId w:val="2"/>
        </w:numPr>
        <w:ind w:hanging="64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本契約甲乙雙方代表人變更時，承受其職務之人即為當然代表，無須辦理契約變更。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numPr>
          <w:ilvl w:val="0"/>
          <w:numId w:val="2"/>
        </w:numPr>
        <w:ind w:hanging="64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本契約如有未盡事宜，除依有關法令及銀行公會規章暨銀行一般慣例辦理外，悉由甲、乙雙方以書面協議定之。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numPr>
          <w:ilvl w:val="0"/>
          <w:numId w:val="2"/>
        </w:numPr>
        <w:ind w:hanging="64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因本契約涉訟時，甲乙雙方同意以臺灣</w:t>
      </w:r>
      <w:proofErr w:type="gramStart"/>
      <w:r w:rsidRPr="001A2A42">
        <w:rPr>
          <w:rFonts w:ascii="Times New Roman" w:hAnsi="Times New Roman" w:cs="Times New Roman"/>
        </w:rPr>
        <w:t>臺</w:t>
      </w:r>
      <w:proofErr w:type="gramEnd"/>
      <w:r w:rsidR="001A2A42">
        <w:rPr>
          <w:rFonts w:ascii="Times New Roman" w:hAnsi="Times New Roman" w:cs="Times New Roman" w:hint="eastAsia"/>
        </w:rPr>
        <w:t>南</w:t>
      </w:r>
      <w:r w:rsidRPr="001A2A42">
        <w:rPr>
          <w:rFonts w:ascii="Times New Roman" w:hAnsi="Times New Roman" w:cs="Times New Roman"/>
        </w:rPr>
        <w:t>地方法院為第一審管轄法院。</w:t>
      </w:r>
      <w:r w:rsidRPr="001A2A42">
        <w:rPr>
          <w:rFonts w:ascii="Times New Roman" w:hAnsi="Times New Roman" w:cs="Times New Roman"/>
        </w:rPr>
        <w:t xml:space="preserve"> </w:t>
      </w:r>
    </w:p>
    <w:p w:rsidR="001A2A42" w:rsidRDefault="00836080" w:rsidP="001A2A42">
      <w:pPr>
        <w:numPr>
          <w:ilvl w:val="0"/>
          <w:numId w:val="2"/>
        </w:numPr>
        <w:ind w:left="993" w:hanging="993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本契約正本</w:t>
      </w:r>
      <w:r w:rsidRPr="001A2A42">
        <w:rPr>
          <w:rFonts w:ascii="Times New Roman" w:hAnsi="Times New Roman" w:cs="Times New Roman"/>
        </w:rPr>
        <w:t>2</w:t>
      </w:r>
      <w:r w:rsidRPr="001A2A42">
        <w:rPr>
          <w:rFonts w:ascii="Times New Roman" w:hAnsi="Times New Roman" w:cs="Times New Roman"/>
        </w:rPr>
        <w:t>份，副本</w:t>
      </w:r>
      <w:r w:rsidR="00B414E1" w:rsidRPr="00B414E1">
        <w:rPr>
          <w:rFonts w:ascii="Times New Roman" w:hAnsi="Times New Roman" w:cs="Times New Roman" w:hint="eastAsia"/>
          <w:color w:val="FF0000"/>
          <w:u w:val="single"/>
        </w:rPr>
        <w:t>2</w:t>
      </w:r>
      <w:r w:rsidRPr="001A2A42">
        <w:rPr>
          <w:rFonts w:ascii="Times New Roman" w:hAnsi="Times New Roman" w:cs="Times New Roman"/>
        </w:rPr>
        <w:t>份，正本由甲乙方各執</w:t>
      </w:r>
      <w:r w:rsidRPr="001A2A42">
        <w:rPr>
          <w:rFonts w:ascii="Times New Roman" w:hAnsi="Times New Roman" w:cs="Times New Roman"/>
        </w:rPr>
        <w:t xml:space="preserve">1 </w:t>
      </w:r>
      <w:r w:rsidRPr="001A2A42">
        <w:rPr>
          <w:rFonts w:ascii="Times New Roman" w:hAnsi="Times New Roman" w:cs="Times New Roman"/>
        </w:rPr>
        <w:t>份，其餘副本由甲、乙方相關單位收執。</w:t>
      </w: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1A2A42" w:rsidRDefault="001A2A42" w:rsidP="001A2A42">
      <w:pPr>
        <w:ind w:left="0" w:firstLine="0"/>
        <w:rPr>
          <w:rFonts w:ascii="Times New Roman" w:hAnsi="Times New Roman" w:cs="Times New Roman"/>
        </w:rPr>
      </w:pPr>
    </w:p>
    <w:p w:rsidR="003A698B" w:rsidRPr="001A2A42" w:rsidRDefault="00836080" w:rsidP="001A2A42">
      <w:pPr>
        <w:ind w:left="0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lastRenderedPageBreak/>
        <w:t>甲乙雙方聲明已於合理期間審閱上開全部條款內容並已充</w:t>
      </w:r>
      <w:r w:rsidRPr="001A2A42">
        <w:rPr>
          <w:rFonts w:ascii="Times New Roman" w:hAnsi="Times New Roman" w:cs="Times New Roman"/>
        </w:rPr>
        <w:t xml:space="preserve">  </w:t>
      </w:r>
      <w:r w:rsidRPr="001A2A42">
        <w:rPr>
          <w:rFonts w:ascii="Times New Roman" w:hAnsi="Times New Roman" w:cs="Times New Roman"/>
        </w:rPr>
        <w:t>分瞭解，承諾簽訂本契約，簽章如下：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49"/>
        <w:ind w:left="0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 w:rsidP="001A2A42">
      <w:pPr>
        <w:spacing w:after="39"/>
        <w:ind w:left="-15" w:right="4602" w:firstLine="1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甲方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49"/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國立</w:t>
      </w:r>
      <w:proofErr w:type="gramStart"/>
      <w:r w:rsidR="001A2A42">
        <w:rPr>
          <w:rFonts w:ascii="Times New Roman" w:hAnsi="Times New Roman" w:cs="Times New Roman" w:hint="eastAsia"/>
        </w:rPr>
        <w:t>臺</w:t>
      </w:r>
      <w:proofErr w:type="gramEnd"/>
      <w:r w:rsidR="001A2A42">
        <w:rPr>
          <w:rFonts w:ascii="Times New Roman" w:hAnsi="Times New Roman" w:cs="Times New Roman" w:hint="eastAsia"/>
        </w:rPr>
        <w:t>南</w:t>
      </w:r>
      <w:r w:rsidRPr="001A2A42">
        <w:rPr>
          <w:rFonts w:ascii="Times New Roman" w:hAnsi="Times New Roman" w:cs="Times New Roman"/>
        </w:rPr>
        <w:t>大學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50"/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代表人：</w:t>
      </w:r>
      <w:r w:rsidR="001A2A42">
        <w:rPr>
          <w:rFonts w:ascii="Times New Roman" w:hAnsi="Times New Roman" w:cs="Times New Roman" w:hint="eastAsia"/>
        </w:rPr>
        <w:t>黃宗顯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50"/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統一編號：</w:t>
      </w:r>
      <w:r w:rsidR="001A2A42">
        <w:rPr>
          <w:rFonts w:ascii="Times New Roman" w:hAnsi="Times New Roman" w:cs="Times New Roman" w:hint="eastAsia"/>
        </w:rPr>
        <w:t>69116104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49"/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地</w:t>
      </w:r>
      <w:r w:rsidRPr="001A2A42">
        <w:rPr>
          <w:rFonts w:ascii="Times New Roman" w:hAnsi="Times New Roman" w:cs="Times New Roman"/>
        </w:rPr>
        <w:t xml:space="preserve">  </w:t>
      </w:r>
      <w:r w:rsidRPr="001A2A42">
        <w:rPr>
          <w:rFonts w:ascii="Times New Roman" w:hAnsi="Times New Roman" w:cs="Times New Roman"/>
        </w:rPr>
        <w:t>址：</w:t>
      </w:r>
      <w:proofErr w:type="gramStart"/>
      <w:r w:rsidR="001A2A42">
        <w:rPr>
          <w:rFonts w:ascii="Times New Roman" w:hAnsi="Times New Roman" w:cs="Times New Roman" w:hint="eastAsia"/>
        </w:rPr>
        <w:t>臺</w:t>
      </w:r>
      <w:proofErr w:type="gramEnd"/>
      <w:r w:rsidR="001A2A42">
        <w:rPr>
          <w:rFonts w:ascii="Times New Roman" w:hAnsi="Times New Roman" w:cs="Times New Roman" w:hint="eastAsia"/>
        </w:rPr>
        <w:t>南</w:t>
      </w:r>
      <w:r w:rsidRPr="001A2A42">
        <w:rPr>
          <w:rFonts w:ascii="Times New Roman" w:hAnsi="Times New Roman" w:cs="Times New Roman"/>
        </w:rPr>
        <w:t>市</w:t>
      </w:r>
      <w:r w:rsidR="001A2A42">
        <w:rPr>
          <w:rFonts w:ascii="Times New Roman" w:hAnsi="Times New Roman" w:cs="Times New Roman" w:hint="eastAsia"/>
        </w:rPr>
        <w:t>中西</w:t>
      </w:r>
      <w:r w:rsidRPr="001A2A42">
        <w:rPr>
          <w:rFonts w:ascii="Times New Roman" w:hAnsi="Times New Roman" w:cs="Times New Roman"/>
        </w:rPr>
        <w:t>區</w:t>
      </w:r>
      <w:r w:rsidR="001A2A42">
        <w:rPr>
          <w:rFonts w:ascii="Times New Roman" w:hAnsi="Times New Roman" w:cs="Times New Roman" w:hint="eastAsia"/>
        </w:rPr>
        <w:t>樹林街二段</w:t>
      </w:r>
      <w:r w:rsidR="001A2A42">
        <w:rPr>
          <w:rFonts w:ascii="Times New Roman" w:hAnsi="Times New Roman" w:cs="Times New Roman" w:hint="eastAsia"/>
        </w:rPr>
        <w:t>33</w:t>
      </w:r>
      <w:r w:rsidRPr="001A2A42">
        <w:rPr>
          <w:rFonts w:ascii="Times New Roman" w:hAnsi="Times New Roman" w:cs="Times New Roman"/>
        </w:rPr>
        <w:t>號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50"/>
        <w:ind w:left="0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                  </w:t>
      </w:r>
    </w:p>
    <w:p w:rsidR="003A698B" w:rsidRPr="001A2A42" w:rsidRDefault="00836080">
      <w:pPr>
        <w:spacing w:after="0" w:line="288" w:lineRule="auto"/>
        <w:ind w:left="0" w:right="8282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 </w:t>
      </w:r>
    </w:p>
    <w:p w:rsidR="003A698B" w:rsidRPr="001A2A42" w:rsidRDefault="00836080">
      <w:pPr>
        <w:spacing w:after="50"/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乙方</w:t>
      </w:r>
      <w:r w:rsidRPr="001A2A42">
        <w:rPr>
          <w:rFonts w:ascii="Times New Roman" w:hAnsi="Times New Roman" w:cs="Times New Roman"/>
        </w:rPr>
        <w:t xml:space="preserve"> </w:t>
      </w:r>
    </w:p>
    <w:p w:rsidR="001A2A42" w:rsidRDefault="00836080">
      <w:pPr>
        <w:spacing w:after="39"/>
        <w:ind w:left="-5" w:right="6362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銀行名稱：</w:t>
      </w:r>
    </w:p>
    <w:p w:rsidR="001A2A42" w:rsidRDefault="00836080">
      <w:pPr>
        <w:spacing w:after="39"/>
        <w:ind w:left="-5" w:right="6362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代</w:t>
      </w:r>
      <w:r w:rsidRPr="001A2A42">
        <w:rPr>
          <w:rFonts w:ascii="Times New Roman" w:hAnsi="Times New Roman" w:cs="Times New Roman"/>
        </w:rPr>
        <w:t xml:space="preserve"> </w:t>
      </w:r>
      <w:r w:rsidRPr="001A2A42">
        <w:rPr>
          <w:rFonts w:ascii="Times New Roman" w:hAnsi="Times New Roman" w:cs="Times New Roman"/>
        </w:rPr>
        <w:t>表</w:t>
      </w:r>
      <w:r w:rsidRPr="001A2A42">
        <w:rPr>
          <w:rFonts w:ascii="Times New Roman" w:hAnsi="Times New Roman" w:cs="Times New Roman"/>
        </w:rPr>
        <w:t xml:space="preserve"> </w:t>
      </w:r>
      <w:r w:rsidRPr="001A2A42">
        <w:rPr>
          <w:rFonts w:ascii="Times New Roman" w:hAnsi="Times New Roman" w:cs="Times New Roman"/>
        </w:rPr>
        <w:t>人：</w:t>
      </w:r>
    </w:p>
    <w:p w:rsidR="003A698B" w:rsidRPr="001A2A42" w:rsidRDefault="00836080">
      <w:pPr>
        <w:spacing w:after="39"/>
        <w:ind w:left="-5" w:right="6362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統一編號</w:t>
      </w:r>
      <w:r w:rsidR="001A2A42">
        <w:rPr>
          <w:rFonts w:ascii="Times New Roman" w:hAnsi="Times New Roman" w:cs="Times New Roman" w:hint="eastAsia"/>
        </w:rPr>
        <w:t>：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50"/>
        <w:ind w:left="-5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地</w:t>
      </w:r>
      <w:r w:rsidRPr="001A2A42">
        <w:rPr>
          <w:rFonts w:ascii="Times New Roman" w:hAnsi="Times New Roman" w:cs="Times New Roman"/>
        </w:rPr>
        <w:t xml:space="preserve">    </w:t>
      </w:r>
      <w:r w:rsidRPr="001A2A42">
        <w:rPr>
          <w:rFonts w:ascii="Times New Roman" w:hAnsi="Times New Roman" w:cs="Times New Roman"/>
        </w:rPr>
        <w:t>址：</w:t>
      </w: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49"/>
        <w:ind w:left="0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50"/>
        <w:ind w:left="0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50"/>
        <w:ind w:left="0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49"/>
        <w:ind w:left="0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50"/>
        <w:ind w:left="0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</w:t>
      </w:r>
    </w:p>
    <w:p w:rsidR="003A698B" w:rsidRPr="001A2A42" w:rsidRDefault="00836080">
      <w:pPr>
        <w:spacing w:after="0" w:line="288" w:lineRule="auto"/>
        <w:ind w:left="0" w:right="8282" w:firstLine="0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 xml:space="preserve">  </w:t>
      </w:r>
    </w:p>
    <w:p w:rsidR="003A698B" w:rsidRPr="001A2A42" w:rsidRDefault="00836080" w:rsidP="001A2A42">
      <w:pPr>
        <w:spacing w:after="0"/>
        <w:ind w:left="-5"/>
        <w:jc w:val="center"/>
        <w:rPr>
          <w:rFonts w:ascii="Times New Roman" w:hAnsi="Times New Roman" w:cs="Times New Roman"/>
        </w:rPr>
      </w:pPr>
      <w:r w:rsidRPr="001A2A42">
        <w:rPr>
          <w:rFonts w:ascii="Times New Roman" w:hAnsi="Times New Roman" w:cs="Times New Roman"/>
        </w:rPr>
        <w:t>中華民國</w:t>
      </w:r>
      <w:r w:rsidRPr="001A2A42">
        <w:rPr>
          <w:rFonts w:ascii="Times New Roman" w:hAnsi="Times New Roman" w:cs="Times New Roman"/>
        </w:rPr>
        <w:t xml:space="preserve">            </w:t>
      </w:r>
      <w:r w:rsidR="001A2A42">
        <w:rPr>
          <w:rFonts w:ascii="Times New Roman" w:hAnsi="Times New Roman" w:cs="Times New Roman" w:hint="eastAsia"/>
        </w:rPr>
        <w:t xml:space="preserve">     </w:t>
      </w:r>
      <w:r w:rsidRPr="001A2A42">
        <w:rPr>
          <w:rFonts w:ascii="Times New Roman" w:hAnsi="Times New Roman" w:cs="Times New Roman"/>
        </w:rPr>
        <w:t>年</w:t>
      </w:r>
      <w:r w:rsidRPr="001A2A42">
        <w:rPr>
          <w:rFonts w:ascii="Times New Roman" w:hAnsi="Times New Roman" w:cs="Times New Roman"/>
        </w:rPr>
        <w:t xml:space="preserve">     </w:t>
      </w:r>
      <w:r w:rsidR="001A2A42">
        <w:rPr>
          <w:rFonts w:ascii="Times New Roman" w:hAnsi="Times New Roman" w:cs="Times New Roman" w:hint="eastAsia"/>
        </w:rPr>
        <w:t xml:space="preserve">  </w:t>
      </w:r>
      <w:r w:rsidRPr="001A2A42">
        <w:rPr>
          <w:rFonts w:ascii="Times New Roman" w:hAnsi="Times New Roman" w:cs="Times New Roman"/>
        </w:rPr>
        <w:t xml:space="preserve">   </w:t>
      </w:r>
      <w:r w:rsidR="001A2A42">
        <w:rPr>
          <w:rFonts w:ascii="Times New Roman" w:hAnsi="Times New Roman" w:cs="Times New Roman" w:hint="eastAsia"/>
        </w:rPr>
        <w:t xml:space="preserve">    </w:t>
      </w:r>
      <w:r w:rsidRPr="001A2A42">
        <w:rPr>
          <w:rFonts w:ascii="Times New Roman" w:hAnsi="Times New Roman" w:cs="Times New Roman"/>
        </w:rPr>
        <w:t xml:space="preserve"> </w:t>
      </w:r>
      <w:r w:rsidRPr="001A2A42">
        <w:rPr>
          <w:rFonts w:ascii="Times New Roman" w:hAnsi="Times New Roman" w:cs="Times New Roman"/>
        </w:rPr>
        <w:t>月</w:t>
      </w:r>
      <w:r w:rsidRPr="001A2A42">
        <w:rPr>
          <w:rFonts w:ascii="Times New Roman" w:hAnsi="Times New Roman" w:cs="Times New Roman"/>
        </w:rPr>
        <w:t xml:space="preserve">        </w:t>
      </w:r>
      <w:r w:rsidR="001A2A42">
        <w:rPr>
          <w:rFonts w:ascii="Times New Roman" w:hAnsi="Times New Roman" w:cs="Times New Roman" w:hint="eastAsia"/>
        </w:rPr>
        <w:t xml:space="preserve">  </w:t>
      </w:r>
      <w:r w:rsidRPr="001A2A42">
        <w:rPr>
          <w:rFonts w:ascii="Times New Roman" w:hAnsi="Times New Roman" w:cs="Times New Roman"/>
        </w:rPr>
        <w:t xml:space="preserve">  </w:t>
      </w:r>
      <w:r w:rsidR="001A2A42">
        <w:rPr>
          <w:rFonts w:ascii="Times New Roman" w:hAnsi="Times New Roman" w:cs="Times New Roman" w:hint="eastAsia"/>
        </w:rPr>
        <w:t xml:space="preserve">   </w:t>
      </w:r>
      <w:r w:rsidRPr="001A2A42">
        <w:rPr>
          <w:rFonts w:ascii="Times New Roman" w:hAnsi="Times New Roman" w:cs="Times New Roman"/>
        </w:rPr>
        <w:t xml:space="preserve"> </w:t>
      </w:r>
      <w:r w:rsidRPr="001A2A42">
        <w:rPr>
          <w:rFonts w:ascii="Times New Roman" w:hAnsi="Times New Roman" w:cs="Times New Roman"/>
        </w:rPr>
        <w:t>日</w:t>
      </w:r>
    </w:p>
    <w:sectPr w:rsidR="003A698B" w:rsidRPr="001A2A42" w:rsidSect="001A2A42">
      <w:footerReference w:type="even" r:id="rId7"/>
      <w:footerReference w:type="default" r:id="rId8"/>
      <w:footerReference w:type="first" r:id="rId9"/>
      <w:pgSz w:w="11904" w:h="16840"/>
      <w:pgMar w:top="1419" w:right="1665" w:bottom="1843" w:left="1798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0E3" w:rsidRDefault="00C620E3">
      <w:pPr>
        <w:spacing w:after="0" w:line="240" w:lineRule="auto"/>
      </w:pPr>
      <w:r>
        <w:separator/>
      </w:r>
    </w:p>
  </w:endnote>
  <w:endnote w:type="continuationSeparator" w:id="0">
    <w:p w:rsidR="00C620E3" w:rsidRDefault="00C6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608" w:tblpY="15698"/>
      <w:tblOverlap w:val="never"/>
      <w:tblW w:w="689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8"/>
      <w:gridCol w:w="320"/>
    </w:tblGrid>
    <w:tr w:rsidR="003A698B">
      <w:trPr>
        <w:trHeight w:val="688"/>
      </w:trPr>
      <w:tc>
        <w:tcPr>
          <w:tcW w:w="689" w:type="dxa"/>
          <w:gridSpan w:val="2"/>
          <w:tc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</w:tcBorders>
          <w:vAlign w:val="center"/>
        </w:tcPr>
        <w:p w:rsidR="003A698B" w:rsidRDefault="00836080">
          <w:pPr>
            <w:spacing w:after="0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i/>
              <w:sz w:val="28"/>
            </w:rPr>
            <w:t>1</w:t>
          </w:r>
          <w:r>
            <w:rPr>
              <w:rFonts w:ascii="Calibri" w:eastAsia="Calibri" w:hAnsi="Calibri" w:cs="Calibri"/>
              <w:i/>
              <w:sz w:val="28"/>
            </w:rPr>
            <w:fldChar w:fldCharType="end"/>
          </w:r>
          <w:r>
            <w:rPr>
              <w:rFonts w:ascii="Calibri" w:eastAsia="Calibri" w:hAnsi="Calibri" w:cs="Calibri"/>
              <w:i/>
              <w:sz w:val="28"/>
            </w:rPr>
            <w:t xml:space="preserve"> </w:t>
          </w:r>
        </w:p>
      </w:tc>
    </w:tr>
    <w:tr w:rsidR="003A698B">
      <w:trPr>
        <w:trHeight w:val="440"/>
      </w:trPr>
      <w:tc>
        <w:tcPr>
          <w:tcW w:w="368" w:type="dxa"/>
          <w:tcBorders>
            <w:top w:val="single" w:sz="6" w:space="0" w:color="7F7F7F"/>
            <w:left w:val="nil"/>
            <w:bottom w:val="nil"/>
            <w:right w:val="single" w:sz="6" w:space="0" w:color="7F7F7F"/>
          </w:tcBorders>
        </w:tcPr>
        <w:p w:rsidR="003A698B" w:rsidRDefault="003A698B">
          <w:pPr>
            <w:spacing w:after="160"/>
            <w:ind w:left="0" w:firstLine="0"/>
          </w:pPr>
        </w:p>
      </w:tc>
      <w:tc>
        <w:tcPr>
          <w:tcW w:w="320" w:type="dxa"/>
          <w:tcBorders>
            <w:top w:val="single" w:sz="6" w:space="0" w:color="7F7F7F"/>
            <w:left w:val="single" w:sz="6" w:space="0" w:color="7F7F7F"/>
            <w:bottom w:val="nil"/>
            <w:right w:val="nil"/>
          </w:tcBorders>
        </w:tcPr>
        <w:p w:rsidR="003A698B" w:rsidRDefault="003A698B">
          <w:pPr>
            <w:spacing w:after="160"/>
            <w:ind w:left="0" w:firstLine="0"/>
          </w:pPr>
        </w:p>
      </w:tc>
    </w:tr>
  </w:tbl>
  <w:p w:rsidR="003A698B" w:rsidRDefault="003A698B">
    <w:pPr>
      <w:spacing w:after="0"/>
      <w:ind w:left="-1798" w:right="3943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118622"/>
      <w:docPartObj>
        <w:docPartGallery w:val="Page Numbers (Bottom of Page)"/>
        <w:docPartUnique/>
      </w:docPartObj>
    </w:sdtPr>
    <w:sdtEndPr/>
    <w:sdtContent>
      <w:p w:rsidR="001A2A42" w:rsidRDefault="001A2A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A698B" w:rsidRDefault="003A698B">
    <w:pPr>
      <w:spacing w:after="0"/>
      <w:ind w:left="-1798" w:right="39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608" w:tblpY="15698"/>
      <w:tblOverlap w:val="never"/>
      <w:tblW w:w="689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8"/>
      <w:gridCol w:w="320"/>
    </w:tblGrid>
    <w:tr w:rsidR="003A698B">
      <w:trPr>
        <w:trHeight w:val="688"/>
      </w:trPr>
      <w:tc>
        <w:tcPr>
          <w:tcW w:w="689" w:type="dxa"/>
          <w:gridSpan w:val="2"/>
          <w:tc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</w:tcBorders>
          <w:vAlign w:val="center"/>
        </w:tcPr>
        <w:p w:rsidR="003A698B" w:rsidRDefault="00836080">
          <w:pPr>
            <w:spacing w:after="0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i/>
              <w:sz w:val="28"/>
            </w:rPr>
            <w:t>1</w:t>
          </w:r>
          <w:r>
            <w:rPr>
              <w:rFonts w:ascii="Calibri" w:eastAsia="Calibri" w:hAnsi="Calibri" w:cs="Calibri"/>
              <w:i/>
              <w:sz w:val="28"/>
            </w:rPr>
            <w:fldChar w:fldCharType="end"/>
          </w:r>
          <w:r>
            <w:rPr>
              <w:rFonts w:ascii="Calibri" w:eastAsia="Calibri" w:hAnsi="Calibri" w:cs="Calibri"/>
              <w:i/>
              <w:sz w:val="28"/>
            </w:rPr>
            <w:t xml:space="preserve"> </w:t>
          </w:r>
        </w:p>
      </w:tc>
    </w:tr>
    <w:tr w:rsidR="003A698B">
      <w:trPr>
        <w:trHeight w:val="440"/>
      </w:trPr>
      <w:tc>
        <w:tcPr>
          <w:tcW w:w="368" w:type="dxa"/>
          <w:tcBorders>
            <w:top w:val="single" w:sz="6" w:space="0" w:color="7F7F7F"/>
            <w:left w:val="nil"/>
            <w:bottom w:val="nil"/>
            <w:right w:val="single" w:sz="6" w:space="0" w:color="7F7F7F"/>
          </w:tcBorders>
        </w:tcPr>
        <w:p w:rsidR="003A698B" w:rsidRDefault="003A698B">
          <w:pPr>
            <w:spacing w:after="160"/>
            <w:ind w:left="0" w:firstLine="0"/>
          </w:pPr>
        </w:p>
      </w:tc>
      <w:tc>
        <w:tcPr>
          <w:tcW w:w="320" w:type="dxa"/>
          <w:tcBorders>
            <w:top w:val="single" w:sz="6" w:space="0" w:color="7F7F7F"/>
            <w:left w:val="single" w:sz="6" w:space="0" w:color="7F7F7F"/>
            <w:bottom w:val="nil"/>
            <w:right w:val="nil"/>
          </w:tcBorders>
        </w:tcPr>
        <w:p w:rsidR="003A698B" w:rsidRDefault="003A698B">
          <w:pPr>
            <w:spacing w:after="160"/>
            <w:ind w:left="0" w:firstLine="0"/>
          </w:pPr>
        </w:p>
      </w:tc>
    </w:tr>
  </w:tbl>
  <w:p w:rsidR="003A698B" w:rsidRDefault="003A698B">
    <w:pPr>
      <w:spacing w:after="0"/>
      <w:ind w:left="-1798" w:right="3943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0E3" w:rsidRDefault="00C620E3">
      <w:pPr>
        <w:spacing w:after="0" w:line="240" w:lineRule="auto"/>
      </w:pPr>
      <w:r>
        <w:separator/>
      </w:r>
    </w:p>
  </w:footnote>
  <w:footnote w:type="continuationSeparator" w:id="0">
    <w:p w:rsidR="00C620E3" w:rsidRDefault="00C62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E92"/>
    <w:multiLevelType w:val="hybridMultilevel"/>
    <w:tmpl w:val="F09E7E4C"/>
    <w:lvl w:ilvl="0" w:tplc="953212F2">
      <w:start w:val="2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E8DA0E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F48AA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7A2EB5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AC218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9C18C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BE41A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087ED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3096F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E1E89"/>
    <w:multiLevelType w:val="hybridMultilevel"/>
    <w:tmpl w:val="39FE3AA6"/>
    <w:lvl w:ilvl="0" w:tplc="6F42D168">
      <w:start w:val="7"/>
      <w:numFmt w:val="japaneseCounting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209DB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8B47DE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30AA2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48B48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FC8E5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EA368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67E2AA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7A5B1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8B"/>
    <w:rsid w:val="001A2A42"/>
    <w:rsid w:val="001C68E4"/>
    <w:rsid w:val="003A698B"/>
    <w:rsid w:val="00556340"/>
    <w:rsid w:val="007239E0"/>
    <w:rsid w:val="007B3D62"/>
    <w:rsid w:val="00836080"/>
    <w:rsid w:val="009735A4"/>
    <w:rsid w:val="00A36265"/>
    <w:rsid w:val="00B07241"/>
    <w:rsid w:val="00B414E1"/>
    <w:rsid w:val="00C2450A"/>
    <w:rsid w:val="00C620E3"/>
    <w:rsid w:val="00CF4E5C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26812-124A-45B0-AD9F-C32D5DFE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2" w:line="259" w:lineRule="auto"/>
      <w:ind w:left="10" w:hanging="1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2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A42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A4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A2A42"/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171</Words>
  <Characters>979</Characters>
  <Application>Microsoft Office Word</Application>
  <DocSecurity>0</DocSecurity>
  <Lines>8</Lines>
  <Paragraphs>2</Paragraphs>
  <ScaleCrop>false</ScaleCrop>
  <Company>KMSOFFICE2019X64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2023-01-04T07:07:00Z</dcterms:created>
  <dcterms:modified xsi:type="dcterms:W3CDTF">2023-04-20T07:14:00Z</dcterms:modified>
</cp:coreProperties>
</file>